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3794A" w14:textId="652664E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75C49">
        <w:t>103</w:t>
      </w:r>
      <w:r w:rsidR="00093305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B57B69">
        <w:rPr>
          <w:sz w:val="32"/>
          <w:szCs w:val="32"/>
        </w:rPr>
        <w:t>20</w:t>
      </w:r>
      <w:r w:rsidR="00D857EC">
        <w:rPr>
          <w:sz w:val="32"/>
          <w:szCs w:val="32"/>
        </w:rPr>
        <w:t>09</w:t>
      </w:r>
      <w:r w:rsidR="00D857EC" w:rsidRPr="00F64D48">
        <w:rPr>
          <w:sz w:val="32"/>
          <w:szCs w:val="32"/>
        </w:rPr>
        <w:t>070</w:t>
      </w:r>
    </w:p>
    <w:p w14:paraId="69A5AE88" w14:textId="77777777" w:rsidR="00093305" w:rsidRPr="00E46EBB" w:rsidRDefault="00093305" w:rsidP="00E46EBB">
      <w:pPr>
        <w:pStyle w:val="3GPPHeader"/>
        <w:rPr>
          <w:bCs/>
        </w:rPr>
      </w:pPr>
      <w:r w:rsidRPr="00E46EBB">
        <w:t>e-Meeting</w:t>
      </w:r>
      <w:r w:rsidR="0027144F" w:rsidRPr="00E46EBB">
        <w:t xml:space="preserve">, </w:t>
      </w:r>
      <w:r w:rsidRPr="00E46EBB">
        <w:rPr>
          <w:bCs/>
        </w:rPr>
        <w:t>October 26</w:t>
      </w:r>
      <w:r w:rsidRPr="00E46EBB">
        <w:rPr>
          <w:bCs/>
          <w:vertAlign w:val="superscript"/>
        </w:rPr>
        <w:t>th</w:t>
      </w:r>
      <w:r w:rsidRPr="00E46EBB">
        <w:rPr>
          <w:bCs/>
        </w:rPr>
        <w:t xml:space="preserve"> – November 13</w:t>
      </w:r>
      <w:r w:rsidRPr="00E46EBB">
        <w:rPr>
          <w:bCs/>
          <w:vertAlign w:val="superscript"/>
        </w:rPr>
        <w:t>th</w:t>
      </w:r>
      <w:r w:rsidRPr="00E46EBB">
        <w:rPr>
          <w:bCs/>
        </w:rPr>
        <w:t>, 2020</w:t>
      </w:r>
    </w:p>
    <w:p w14:paraId="3690BEC3" w14:textId="1425943D" w:rsidR="00E90E49" w:rsidRPr="00CE0424" w:rsidRDefault="00E90E49" w:rsidP="00311702">
      <w:pPr>
        <w:pStyle w:val="3GPPHeader"/>
      </w:pPr>
    </w:p>
    <w:p w14:paraId="69F2FF20" w14:textId="77777777" w:rsidR="00E90E49" w:rsidRPr="00CE0424" w:rsidRDefault="00E90E49" w:rsidP="00357380">
      <w:pPr>
        <w:pStyle w:val="3GPPHeader"/>
      </w:pPr>
    </w:p>
    <w:p w14:paraId="2A3268FC" w14:textId="7A0140A0" w:rsidR="00E90E49" w:rsidRPr="004914BE" w:rsidRDefault="00E90E49" w:rsidP="00311702">
      <w:pPr>
        <w:pStyle w:val="3GPPHeader"/>
        <w:rPr>
          <w:sz w:val="22"/>
          <w:szCs w:val="22"/>
          <w:lang w:val="en-US"/>
        </w:rPr>
      </w:pPr>
      <w:r w:rsidRPr="004914BE">
        <w:rPr>
          <w:sz w:val="22"/>
          <w:szCs w:val="22"/>
          <w:lang w:val="en-US"/>
        </w:rPr>
        <w:t>Agenda Item:</w:t>
      </w:r>
      <w:r w:rsidRPr="004914BE">
        <w:rPr>
          <w:sz w:val="22"/>
          <w:szCs w:val="22"/>
          <w:lang w:val="en-US"/>
        </w:rPr>
        <w:tab/>
      </w:r>
      <w:r w:rsidR="00241236" w:rsidRPr="004914BE">
        <w:rPr>
          <w:sz w:val="22"/>
          <w:szCs w:val="22"/>
          <w:lang w:val="en-US"/>
        </w:rPr>
        <w:t>8.1.2.</w:t>
      </w:r>
      <w:r w:rsidR="00FA0271" w:rsidRPr="004914BE">
        <w:rPr>
          <w:sz w:val="22"/>
          <w:szCs w:val="22"/>
          <w:lang w:val="en-US"/>
        </w:rPr>
        <w:t>2</w:t>
      </w:r>
    </w:p>
    <w:p w14:paraId="6AF256C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DF7D1DA" w14:textId="408E698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74C0C">
        <w:rPr>
          <w:sz w:val="22"/>
          <w:szCs w:val="22"/>
        </w:rPr>
        <w:t xml:space="preserve">Enhancement on </w:t>
      </w:r>
      <w:r w:rsidR="0083278A">
        <w:rPr>
          <w:sz w:val="22"/>
          <w:szCs w:val="22"/>
        </w:rPr>
        <w:t>Multi-TRP inter-cell operation</w:t>
      </w:r>
    </w:p>
    <w:p w14:paraId="573A960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46EBB">
        <w:rPr>
          <w:sz w:val="22"/>
          <w:szCs w:val="22"/>
        </w:rPr>
        <w:t>Discussion, Decision</w:t>
      </w:r>
    </w:p>
    <w:p w14:paraId="7D9956F0" w14:textId="77777777" w:rsidR="00E90E49" w:rsidRPr="00CE0424" w:rsidRDefault="00E90E49" w:rsidP="00E90E49"/>
    <w:p w14:paraId="7EA9265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A304925" w14:textId="10B965D6" w:rsidR="00477768" w:rsidRDefault="00950553" w:rsidP="00CE0424">
      <w:pPr>
        <w:pStyle w:val="BodyText"/>
      </w:pPr>
      <w:r>
        <w:t>On RAN1#102-e meeting, inter-cell operation for Multi-TRP was discussed with agreement made below [1]:</w:t>
      </w:r>
    </w:p>
    <w:p w14:paraId="3EF730E8" w14:textId="77777777" w:rsidR="00950553" w:rsidRDefault="00950553" w:rsidP="00CE0424">
      <w:pPr>
        <w:pStyle w:val="BodyText"/>
      </w:pPr>
    </w:p>
    <w:p w14:paraId="275BE669" w14:textId="77777777" w:rsidR="00950553" w:rsidRDefault="00950553" w:rsidP="00950553">
      <w:pPr>
        <w:rPr>
          <w:rFonts w:cs="Times"/>
          <w:b/>
          <w:highlight w:val="green"/>
          <w:lang w:eastAsia="x-none"/>
        </w:rPr>
      </w:pPr>
      <w:r>
        <w:rPr>
          <w:rFonts w:cs="Times"/>
          <w:b/>
          <w:highlight w:val="green"/>
          <w:lang w:eastAsia="x-none"/>
        </w:rPr>
        <w:t>Agreement</w:t>
      </w:r>
    </w:p>
    <w:p w14:paraId="0BA30A36" w14:textId="77777777" w:rsidR="00950553" w:rsidRDefault="00950553" w:rsidP="00950553">
      <w:pPr>
        <w:rPr>
          <w:rFonts w:cs="Times"/>
          <w:lang w:eastAsia="x-none"/>
        </w:rPr>
      </w:pPr>
      <w:r>
        <w:rPr>
          <w:rFonts w:cs="Times"/>
          <w:lang w:eastAsia="x-none"/>
        </w:rPr>
        <w:t>Study the following aspects of QCL /TCI-related enhancement to enable inter-cell multi-DCI based multi-TRP operation.</w:t>
      </w:r>
    </w:p>
    <w:p w14:paraId="08CB78B6" w14:textId="77777777" w:rsidR="00950553" w:rsidRDefault="00950553" w:rsidP="00950553">
      <w:pPr>
        <w:pStyle w:val="ListParagraph"/>
        <w:numPr>
          <w:ilvl w:val="0"/>
          <w:numId w:val="23"/>
        </w:numPr>
        <w:overflowPunct/>
        <w:autoSpaceDE/>
        <w:autoSpaceDN/>
        <w:adjustRightInd/>
        <w:contextualSpacing/>
        <w:jc w:val="both"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Details on configuration of non-serving cell RS;</w:t>
      </w:r>
    </w:p>
    <w:p w14:paraId="00E28F59" w14:textId="77777777" w:rsidR="00950553" w:rsidRDefault="00950553" w:rsidP="00950553">
      <w:pPr>
        <w:pStyle w:val="ListParagraph"/>
        <w:numPr>
          <w:ilvl w:val="0"/>
          <w:numId w:val="23"/>
        </w:numPr>
        <w:overflowPunct/>
        <w:autoSpaceDE/>
        <w:autoSpaceDN/>
        <w:adjustRightInd/>
        <w:contextualSpacing/>
        <w:jc w:val="both"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Allowed source and target RS types for RS transmitted from the non-serving cell TRP ;</w:t>
      </w:r>
    </w:p>
    <w:p w14:paraId="0EA209C6" w14:textId="77777777" w:rsidR="00950553" w:rsidRDefault="00950553" w:rsidP="00950553">
      <w:pPr>
        <w:pStyle w:val="ListParagraph"/>
        <w:numPr>
          <w:ilvl w:val="0"/>
          <w:numId w:val="23"/>
        </w:numPr>
        <w:overflowPunct/>
        <w:autoSpaceDE/>
        <w:autoSpaceDN/>
        <w:adjustRightInd/>
        <w:contextualSpacing/>
        <w:jc w:val="both"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Allowed QCL types for RS transmitted from the non-serving cell TRP ;</w:t>
      </w:r>
    </w:p>
    <w:p w14:paraId="795DAC7F" w14:textId="77777777" w:rsidR="00950553" w:rsidRDefault="00950553" w:rsidP="00950553">
      <w:pPr>
        <w:pStyle w:val="ListParagraph"/>
        <w:numPr>
          <w:ilvl w:val="0"/>
          <w:numId w:val="23"/>
        </w:numPr>
        <w:overflowPunct/>
        <w:autoSpaceDE/>
        <w:autoSpaceDN/>
        <w:adjustRightInd/>
        <w:contextualSpacing/>
        <w:jc w:val="both"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Measurement and reporting related to QCL /TCI enhancement except for that in 8.1.1, if any;</w:t>
      </w:r>
    </w:p>
    <w:p w14:paraId="19AF78FD" w14:textId="77777777" w:rsidR="00950553" w:rsidRDefault="00950553" w:rsidP="00950553">
      <w:pPr>
        <w:pStyle w:val="ListParagraph"/>
        <w:numPr>
          <w:ilvl w:val="0"/>
          <w:numId w:val="23"/>
        </w:numPr>
        <w:overflowPunct/>
        <w:autoSpaceDE/>
        <w:autoSpaceDN/>
        <w:adjustRightInd/>
        <w:contextualSpacing/>
        <w:jc w:val="both"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Clarification on potential UE behavior for associating/multiplexing non-serving cell RS with other RS/channels;</w:t>
      </w:r>
    </w:p>
    <w:p w14:paraId="7BC152E8" w14:textId="77777777" w:rsidR="00950553" w:rsidRDefault="00950553" w:rsidP="00950553">
      <w:pPr>
        <w:pStyle w:val="ListParagraph"/>
        <w:numPr>
          <w:ilvl w:val="0"/>
          <w:numId w:val="23"/>
        </w:numPr>
        <w:overflowPunct/>
        <w:autoSpaceDE/>
        <w:autoSpaceDN/>
        <w:adjustRightInd/>
        <w:contextualSpacing/>
        <w:jc w:val="both"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Other details not precluded.</w:t>
      </w:r>
    </w:p>
    <w:p w14:paraId="2052E65B" w14:textId="74A05448" w:rsidR="00950553" w:rsidRDefault="00950553" w:rsidP="00CE0424">
      <w:pPr>
        <w:pStyle w:val="BodyText"/>
      </w:pPr>
    </w:p>
    <w:p w14:paraId="45CE56D3" w14:textId="21D50F04" w:rsidR="00071D69" w:rsidRPr="00CE0424" w:rsidRDefault="007578FB" w:rsidP="00CE0424">
      <w:pPr>
        <w:pStyle w:val="BodyText"/>
      </w:pPr>
      <w:r>
        <w:t xml:space="preserve">In this contribution, we discuss </w:t>
      </w:r>
      <w:r w:rsidR="000F145F">
        <w:t>some of the details</w:t>
      </w:r>
      <w:r w:rsidR="001F1CDB">
        <w:t xml:space="preserve"> </w:t>
      </w:r>
      <w:r w:rsidR="00A6331B">
        <w:t>and our views</w:t>
      </w:r>
      <w:r w:rsidR="0026644B">
        <w:t>.</w:t>
      </w:r>
    </w:p>
    <w:p w14:paraId="6972E82E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C05804D" w14:textId="31CAD9E8" w:rsidR="004914BE" w:rsidRDefault="00230D18" w:rsidP="004914BE">
      <w:pPr>
        <w:pStyle w:val="Heading2"/>
      </w:pPr>
      <w:r>
        <w:t>2.1</w:t>
      </w:r>
      <w:r w:rsidR="009559EC">
        <w:t xml:space="preserve"> </w:t>
      </w:r>
      <w:r w:rsidR="004F031C">
        <w:t xml:space="preserve">Clarification on </w:t>
      </w:r>
      <w:r w:rsidR="004914BE">
        <w:t xml:space="preserve">Non-serving Cell </w:t>
      </w:r>
    </w:p>
    <w:p w14:paraId="33D38D9F" w14:textId="58ACDAA7" w:rsidR="006B3304" w:rsidRDefault="004914BE" w:rsidP="006B3304">
      <w:pPr>
        <w:pStyle w:val="BodyText"/>
      </w:pPr>
      <w:r>
        <w:t>Non-serving cell is a</w:t>
      </w:r>
      <w:r w:rsidR="006B3304">
        <w:t>n</w:t>
      </w:r>
      <w:r>
        <w:t xml:space="preserve"> unclear terminology</w:t>
      </w:r>
      <w:r w:rsidR="006B3304">
        <w:t xml:space="preserve"> with wide interpretation</w:t>
      </w:r>
      <w:r w:rsidR="006503A6">
        <w:t>.</w:t>
      </w:r>
      <w:r w:rsidR="001A1910">
        <w:t xml:space="preserve"> </w:t>
      </w:r>
      <w:r w:rsidR="006503A6">
        <w:t>I</w:t>
      </w:r>
      <w:r>
        <w:t>n the context of M-TRP inter-cell discussion it is more proper to explicitly describe the inter-cell M-TRP</w:t>
      </w:r>
      <w:r w:rsidR="00075B30">
        <w:t>, at least the starting point of the discussion,</w:t>
      </w:r>
      <w:r>
        <w:t xml:space="preserve"> </w:t>
      </w:r>
      <w:r w:rsidR="006503A6">
        <w:t>to be with</w:t>
      </w:r>
      <w:r>
        <w:t xml:space="preserve"> same carrier </w:t>
      </w:r>
      <w:r w:rsidR="006503A6">
        <w:t xml:space="preserve">but an </w:t>
      </w:r>
      <w:r>
        <w:t>additional PCI.</w:t>
      </w:r>
      <w:r w:rsidR="006B3304">
        <w:t xml:space="preserve"> </w:t>
      </w:r>
      <w:r w:rsidR="00C6501D">
        <w:t xml:space="preserve">Assumptions on </w:t>
      </w:r>
      <w:r w:rsidR="00B104F1">
        <w:t xml:space="preserve">Multi-DCI </w:t>
      </w:r>
      <w:r w:rsidR="006B3304">
        <w:t>M-TRP</w:t>
      </w:r>
      <w:r w:rsidR="00B104F1">
        <w:t xml:space="preserve"> in Rel-16</w:t>
      </w:r>
      <w:r w:rsidR="00C6501D">
        <w:t xml:space="preserve"> </w:t>
      </w:r>
      <w:proofErr w:type="spellStart"/>
      <w:r w:rsidR="00C6501D">
        <w:t>eMIMO</w:t>
      </w:r>
      <w:proofErr w:type="spellEnd"/>
      <w:r w:rsidR="006B3304">
        <w:t xml:space="preserve"> </w:t>
      </w:r>
      <w:r w:rsidR="006503A6">
        <w:t xml:space="preserve">may </w:t>
      </w:r>
      <w:r w:rsidR="006B3304">
        <w:t>be referred, wh</w:t>
      </w:r>
      <w:r w:rsidR="00B104F1">
        <w:t>ere</w:t>
      </w:r>
      <w:r w:rsidR="006B3304">
        <w:t xml:space="preserve"> </w:t>
      </w:r>
      <w:r w:rsidR="00B104F1">
        <w:t>TRPs</w:t>
      </w:r>
      <w:r w:rsidR="006B3304">
        <w:t xml:space="preserve"> </w:t>
      </w:r>
      <w:r w:rsidR="00B104F1">
        <w:t xml:space="preserve">are considered as </w:t>
      </w:r>
      <w:r w:rsidR="006B3304">
        <w:t>non</w:t>
      </w:r>
      <w:r w:rsidR="00D634E1">
        <w:t>-</w:t>
      </w:r>
      <w:r w:rsidR="006B3304">
        <w:t>ideal backhaul with</w:t>
      </w:r>
      <w:r w:rsidR="00657890">
        <w:t>in</w:t>
      </w:r>
      <w:r w:rsidR="006B3304">
        <w:t xml:space="preserve"> same serving cell</w:t>
      </w:r>
      <w:r w:rsidR="00B104F1">
        <w:t>.</w:t>
      </w:r>
      <w:r w:rsidR="00657890">
        <w:t xml:space="preserve"> </w:t>
      </w:r>
      <w:r w:rsidR="00B104F1">
        <w:t>In Rel-17</w:t>
      </w:r>
      <w:r w:rsidR="00DB2696">
        <w:t xml:space="preserve"> the starting point for inter-cell Multi-TRP can be described as</w:t>
      </w:r>
      <w:r w:rsidR="00B104F1">
        <w:t xml:space="preserve"> an </w:t>
      </w:r>
      <w:r w:rsidR="00075B30">
        <w:t xml:space="preserve">enhancement when </w:t>
      </w:r>
      <w:r w:rsidR="00B104F1">
        <w:t>additional</w:t>
      </w:r>
      <w:r w:rsidR="006B3304">
        <w:t xml:space="preserve"> PCI</w:t>
      </w:r>
      <w:r w:rsidR="00DB2696">
        <w:t xml:space="preserve"> is used to</w:t>
      </w:r>
      <w:r w:rsidR="00D634E1">
        <w:t xml:space="preserve"> indicate a</w:t>
      </w:r>
      <w:r w:rsidR="00B104F1">
        <w:t xml:space="preserve"> </w:t>
      </w:r>
      <w:r w:rsidR="00B3280A">
        <w:t>different</w:t>
      </w:r>
      <w:r w:rsidR="00B104F1">
        <w:t xml:space="preserve"> TRP</w:t>
      </w:r>
      <w:r w:rsidR="006B3304">
        <w:t xml:space="preserve"> </w:t>
      </w:r>
      <w:r w:rsidR="00B104F1">
        <w:t xml:space="preserve">with </w:t>
      </w:r>
      <w:r w:rsidR="006B3304">
        <w:t>non-idea</w:t>
      </w:r>
      <w:bookmarkStart w:id="1" w:name="_GoBack"/>
      <w:bookmarkEnd w:id="1"/>
      <w:r w:rsidR="006B3304">
        <w:t>l backhaul</w:t>
      </w:r>
      <w:r w:rsidR="00DB2696">
        <w:t xml:space="preserve"> setup</w:t>
      </w:r>
      <w:r w:rsidR="006B3304">
        <w:t xml:space="preserve">. </w:t>
      </w:r>
      <w:r w:rsidR="00D634E1">
        <w:t>To start with, t</w:t>
      </w:r>
      <w:r w:rsidR="006B3304">
        <w:t>he inter</w:t>
      </w:r>
      <w:r w:rsidR="006B3304" w:rsidRPr="00D20135">
        <w:rPr>
          <w:lang w:val="en-US"/>
        </w:rPr>
        <w:t>-</w:t>
      </w:r>
      <w:r w:rsidR="006B3304">
        <w:t xml:space="preserve">cell delay between the </w:t>
      </w:r>
      <w:r w:rsidR="00B104F1">
        <w:t xml:space="preserve">TRP with </w:t>
      </w:r>
      <w:r w:rsidR="006B3304">
        <w:t xml:space="preserve">additional PCI and </w:t>
      </w:r>
      <w:r w:rsidR="00B104F1">
        <w:t xml:space="preserve">TRP with </w:t>
      </w:r>
      <w:r w:rsidR="006B3304">
        <w:t>serving cell</w:t>
      </w:r>
      <w:r w:rsidR="00B104F1">
        <w:t xml:space="preserve"> PCI</w:t>
      </w:r>
      <w:r w:rsidR="006B3304">
        <w:t xml:space="preserve"> shall be within a CP</w:t>
      </w:r>
      <w:r w:rsidR="00D634E1">
        <w:t>; the</w:t>
      </w:r>
      <w:r w:rsidR="006503DD">
        <w:t xml:space="preserve"> carrier </w:t>
      </w:r>
      <w:r w:rsidR="00075B30">
        <w:t xml:space="preserve">of </w:t>
      </w:r>
      <w:r w:rsidR="006503DD">
        <w:t>additional PCI</w:t>
      </w:r>
      <w:r w:rsidR="00075B30">
        <w:t xml:space="preserve"> cell</w:t>
      </w:r>
      <w:r w:rsidR="006503DD">
        <w:t xml:space="preserve"> is the same as serving cell</w:t>
      </w:r>
      <w:r w:rsidR="006B3304">
        <w:t>.</w:t>
      </w:r>
    </w:p>
    <w:p w14:paraId="0A17DE32" w14:textId="55ECDF42" w:rsidR="004914BE" w:rsidRDefault="004914BE" w:rsidP="004914BE">
      <w:pPr>
        <w:pStyle w:val="BodyText"/>
      </w:pPr>
    </w:p>
    <w:p w14:paraId="495510AC" w14:textId="089B70D2" w:rsidR="006B3304" w:rsidRDefault="00D634E1" w:rsidP="006B3304">
      <w:pPr>
        <w:pStyle w:val="Proposal"/>
      </w:pPr>
      <w:bookmarkStart w:id="2" w:name="_Toc54391091"/>
      <w:r>
        <w:t xml:space="preserve">Start </w:t>
      </w:r>
      <w:r w:rsidR="006B3304">
        <w:t xml:space="preserve">the inter-cell discussion for M-TRP </w:t>
      </w:r>
      <w:r w:rsidR="006503DD">
        <w:t>as</w:t>
      </w:r>
      <w:r w:rsidR="006B3304">
        <w:t xml:space="preserve"> an extension on Rel-16</w:t>
      </w:r>
      <w:r w:rsidR="006503DD">
        <w:t xml:space="preserve"> Multi-DCI</w:t>
      </w:r>
      <w:r w:rsidR="006B3304">
        <w:t xml:space="preserve"> assumption to support the </w:t>
      </w:r>
      <w:r w:rsidR="00B32FA1">
        <w:t xml:space="preserve">non-ideal backhaul scenario, </w:t>
      </w:r>
      <w:r w:rsidR="006B3304">
        <w:t>same carrier</w:t>
      </w:r>
      <w:r w:rsidR="00B32FA1">
        <w:t xml:space="preserve"> but</w:t>
      </w:r>
      <w:r w:rsidR="006B3304">
        <w:t xml:space="preserve"> with additional PCI</w:t>
      </w:r>
      <w:r w:rsidR="007D74C4">
        <w:t>.</w:t>
      </w:r>
      <w:bookmarkEnd w:id="2"/>
    </w:p>
    <w:p w14:paraId="78422172" w14:textId="1690D0B3" w:rsidR="00F63950" w:rsidRDefault="004914BE" w:rsidP="004914BE">
      <w:pPr>
        <w:pStyle w:val="Heading2"/>
      </w:pPr>
      <w:r>
        <w:lastRenderedPageBreak/>
        <w:t xml:space="preserve">2.2 </w:t>
      </w:r>
      <w:r w:rsidR="00B40534">
        <w:t xml:space="preserve">QCL/TCI </w:t>
      </w:r>
      <w:r w:rsidR="00F14110">
        <w:t xml:space="preserve">association with </w:t>
      </w:r>
      <w:r>
        <w:t>additional PCI</w:t>
      </w:r>
    </w:p>
    <w:p w14:paraId="50449A8D" w14:textId="77777777" w:rsidR="00D276AE" w:rsidRPr="00ED2B29" w:rsidRDefault="00D276AE" w:rsidP="00D276AE">
      <w:pPr>
        <w:pStyle w:val="BodyText"/>
      </w:pPr>
      <w:r>
        <w:t>The multi-TRP operation for multi-PDSCH</w:t>
      </w:r>
      <w:r w:rsidRPr="00ED2B29">
        <w:t xml:space="preserve"> </w:t>
      </w:r>
      <w:r>
        <w:t xml:space="preserve">reception </w:t>
      </w:r>
      <w:r w:rsidRPr="00ED2B29">
        <w:t>relies on two abstractions:</w:t>
      </w:r>
    </w:p>
    <w:p w14:paraId="72EA05DC" w14:textId="77777777" w:rsidR="00D276AE" w:rsidRPr="00ED2B29" w:rsidRDefault="00D276AE" w:rsidP="00D276AE">
      <w:pPr>
        <w:pStyle w:val="BodyText"/>
        <w:numPr>
          <w:ilvl w:val="0"/>
          <w:numId w:val="24"/>
        </w:numPr>
        <w:overflowPunct/>
        <w:autoSpaceDE/>
        <w:autoSpaceDN/>
        <w:adjustRightInd/>
        <w:spacing w:line="259" w:lineRule="auto"/>
        <w:textAlignment w:val="auto"/>
      </w:pPr>
      <w:r w:rsidRPr="00ED2B29">
        <w:t>CSI report configurations, which includes descriptions of the reference signals that are used as targets for the measurements</w:t>
      </w:r>
    </w:p>
    <w:p w14:paraId="16EFC5AE" w14:textId="77777777" w:rsidR="00D276AE" w:rsidRPr="00ED2B29" w:rsidRDefault="00D276AE" w:rsidP="00D276AE">
      <w:pPr>
        <w:pStyle w:val="BodyText"/>
        <w:numPr>
          <w:ilvl w:val="0"/>
          <w:numId w:val="24"/>
        </w:numPr>
        <w:overflowPunct/>
        <w:autoSpaceDE/>
        <w:autoSpaceDN/>
        <w:adjustRightInd/>
        <w:spacing w:line="259" w:lineRule="auto"/>
        <w:textAlignment w:val="auto"/>
      </w:pPr>
      <w:r w:rsidRPr="00ED2B29">
        <w:t xml:space="preserve">TCI states, which contains information about </w:t>
      </w:r>
      <w:proofErr w:type="spellStart"/>
      <w:proofErr w:type="gramStart"/>
      <w:r>
        <w:t>QCL:ed</w:t>
      </w:r>
      <w:proofErr w:type="spellEnd"/>
      <w:proofErr w:type="gramEnd"/>
      <w:r>
        <w:t xml:space="preserve"> </w:t>
      </w:r>
      <w:r w:rsidRPr="00ED2B29">
        <w:t xml:space="preserve">reference signals to simplify </w:t>
      </w:r>
      <w:r>
        <w:t>PDSCH</w:t>
      </w:r>
      <w:r w:rsidRPr="00ED2B29">
        <w:t xml:space="preserve"> reception at the UE.</w:t>
      </w:r>
    </w:p>
    <w:p w14:paraId="077F6853" w14:textId="77777777" w:rsidR="00D276AE" w:rsidRPr="00ED2B29" w:rsidRDefault="00D276AE" w:rsidP="00D276AE">
      <w:pPr>
        <w:pStyle w:val="BodyText"/>
      </w:pPr>
      <w:r w:rsidRPr="00ED2B29">
        <w:t xml:space="preserve">Both the CSI report configurations and the TCI states are configured via RRC. </w:t>
      </w:r>
    </w:p>
    <w:p w14:paraId="3DD1EFE6" w14:textId="77777777" w:rsidR="00D276AE" w:rsidRPr="00ED2B29" w:rsidRDefault="00D276AE" w:rsidP="00D276AE">
      <w:pPr>
        <w:pStyle w:val="BodyText"/>
      </w:pPr>
      <w:r w:rsidRPr="00ED2B29">
        <w:t xml:space="preserve">To facilitate inter-cell </w:t>
      </w:r>
      <w:r>
        <w:t>multi-TRP operation</w:t>
      </w:r>
      <w:r w:rsidRPr="00ED2B29">
        <w:t>, we can make use of these two abstractions, by simply modifying the configuration of the CSI reports and the TCI states:</w:t>
      </w:r>
    </w:p>
    <w:p w14:paraId="39ED29CA" w14:textId="77777777" w:rsidR="00D276AE" w:rsidRPr="00ED2B29" w:rsidRDefault="00D276AE" w:rsidP="00D276AE">
      <w:pPr>
        <w:pStyle w:val="Observation"/>
      </w:pPr>
      <w:bookmarkStart w:id="3" w:name="_Toc47366855"/>
      <w:bookmarkStart w:id="4" w:name="_Toc54391033"/>
      <w:r w:rsidRPr="00ED2B29">
        <w:t xml:space="preserve">To facilitate inter-cell </w:t>
      </w:r>
      <w:r>
        <w:t>multi-TRP operation</w:t>
      </w:r>
      <w:r w:rsidRPr="00ED2B29">
        <w:t>, the CSI report configurations and the TCI needs to be updated.</w:t>
      </w:r>
      <w:bookmarkEnd w:id="3"/>
      <w:bookmarkEnd w:id="4"/>
    </w:p>
    <w:p w14:paraId="5A68FF0D" w14:textId="77777777" w:rsidR="00D276AE" w:rsidRDefault="00D276AE" w:rsidP="00D276AE">
      <w:pPr>
        <w:pStyle w:val="BodyText"/>
      </w:pPr>
      <w:r w:rsidRPr="00ED2B29">
        <w:t xml:space="preserve">However, there is no need to introduce any fundamentally new procedure: we simply </w:t>
      </w:r>
      <w:r>
        <w:t>extend</w:t>
      </w:r>
      <w:r w:rsidRPr="00ED2B29">
        <w:t xml:space="preserve"> the existing procedures. </w:t>
      </w:r>
      <w:r>
        <w:t xml:space="preserve">Here, the CSI report configuration is needed to be able to report on SSB’s of non-serving cells. This will be handled in the multi-beam part of this WI. The measurement of SSBs has a longer time scale compared to measurements on CSI-RS, which is a fast operation. The fast operation is more critical to multi-TRP operation (while beam management is “slower”). </w:t>
      </w:r>
    </w:p>
    <w:p w14:paraId="090D794E" w14:textId="66FD85A6" w:rsidR="00D276AE" w:rsidRPr="00ED2B29" w:rsidRDefault="00D276AE" w:rsidP="00D276AE">
      <w:pPr>
        <w:pStyle w:val="BodyText"/>
      </w:pPr>
      <w:r>
        <w:t xml:space="preserve">Hence, we suggest that in this multi-TRP part of the WI, we only need to consider the CSI-RS based measurements from </w:t>
      </w:r>
      <w:r w:rsidR="00FC5CD7">
        <w:t xml:space="preserve">TRP with additional PCI </w:t>
      </w:r>
      <w:r>
        <w:t xml:space="preserve">and can assume that the discovery and selection of SSBs has already been done (and will be handled in multi-beam part of the WI). Thereby, it is enough to modify the TCI states so that reference </w:t>
      </w:r>
      <w:r w:rsidR="00C33926" w:rsidRPr="008F58AA">
        <w:t>signal</w:t>
      </w:r>
      <w:r w:rsidR="00BF0C3B" w:rsidRPr="008F58AA">
        <w:t>s</w:t>
      </w:r>
      <w:r w:rsidR="00C33926" w:rsidRPr="008F58AA">
        <w:t xml:space="preserve"> </w:t>
      </w:r>
      <w:r>
        <w:t>in non-serving cells can be used.</w:t>
      </w:r>
    </w:p>
    <w:p w14:paraId="64F3682C" w14:textId="14FCD1A2" w:rsidR="00D276AE" w:rsidRPr="00ED2B29" w:rsidRDefault="00D276AE" w:rsidP="00D276AE">
      <w:pPr>
        <w:pStyle w:val="BodyText"/>
      </w:pPr>
      <w:r w:rsidRPr="00ED2B29">
        <w:t xml:space="preserve">To provide a reference </w:t>
      </w:r>
      <w:r w:rsidR="001E769C">
        <w:t>signal in</w:t>
      </w:r>
      <w:r w:rsidRPr="00ED2B29">
        <w:t xml:space="preserve"> a non-serving cell</w:t>
      </w:r>
      <w:r w:rsidR="001E769C">
        <w:t xml:space="preserve"> to a UE</w:t>
      </w:r>
      <w:r w:rsidRPr="00ED2B29">
        <w:t xml:space="preserve">, the physical cell identity (PCI) should be included </w:t>
      </w:r>
      <w:r>
        <w:t>in the RRC configuration of</w:t>
      </w:r>
      <w:r w:rsidRPr="00ED2B29">
        <w:t xml:space="preserve"> the TCI states</w:t>
      </w:r>
      <w:r>
        <w:t>, at least for TCI states containing SSB:</w:t>
      </w:r>
    </w:p>
    <w:p w14:paraId="68F03AB8" w14:textId="2D6369D9" w:rsidR="00D276AE" w:rsidRPr="00ED2B29" w:rsidRDefault="00D276AE" w:rsidP="00D276AE">
      <w:pPr>
        <w:pStyle w:val="Proposal"/>
        <w:tabs>
          <w:tab w:val="num" w:pos="1304"/>
        </w:tabs>
        <w:ind w:left="1304" w:hanging="1304"/>
      </w:pPr>
      <w:bookmarkStart w:id="5" w:name="_Toc47366863"/>
      <w:bookmarkStart w:id="6" w:name="_Toc47707678"/>
      <w:bookmarkStart w:id="7" w:name="_Toc54391092"/>
      <w:r w:rsidRPr="00ED2B29">
        <w:t xml:space="preserve">Include a PCI in the TCI state </w:t>
      </w:r>
      <w:r>
        <w:t xml:space="preserve">(at least for TCI states referring to an SSB) </w:t>
      </w:r>
      <w:r w:rsidRPr="00ED2B29">
        <w:t xml:space="preserve">to facilitate the use of reference signals from </w:t>
      </w:r>
      <w:r w:rsidR="00507373">
        <w:t>additional cell</w:t>
      </w:r>
      <w:r w:rsidR="000454FA">
        <w:t>s</w:t>
      </w:r>
      <w:r w:rsidRPr="00ED2B29">
        <w:t xml:space="preserve"> as QCL source</w:t>
      </w:r>
      <w:r w:rsidR="00CF7B8D">
        <w:t xml:space="preserve"> RS</w:t>
      </w:r>
      <w:r w:rsidRPr="00ED2B29">
        <w:t>.</w:t>
      </w:r>
      <w:bookmarkEnd w:id="5"/>
      <w:bookmarkEnd w:id="6"/>
      <w:bookmarkEnd w:id="7"/>
    </w:p>
    <w:p w14:paraId="6309A3C5" w14:textId="77777777" w:rsidR="00D276AE" w:rsidRPr="00ED2B29" w:rsidRDefault="00D276AE" w:rsidP="00D276AE">
      <w:pPr>
        <w:pStyle w:val="BodyText"/>
      </w:pPr>
      <w:r w:rsidRPr="00ED2B29">
        <w:t xml:space="preserve">The PCI could be included in the TCI state itself, meaning that it would apply to the one or </w:t>
      </w:r>
      <w:r>
        <w:t>both</w:t>
      </w:r>
      <w:r w:rsidRPr="00ED2B29">
        <w:t xml:space="preserve"> QCL-info(s) that are part of the TCI state, or it can be part of the separate QCL-info. Both options would provide the required functionality. </w:t>
      </w:r>
    </w:p>
    <w:p w14:paraId="03DCB13C" w14:textId="545C7D8E" w:rsidR="00D276AE" w:rsidRPr="00ED2B29" w:rsidRDefault="00D276AE" w:rsidP="00D276AE">
      <w:pPr>
        <w:pStyle w:val="BodyText"/>
      </w:pPr>
      <w:r w:rsidRPr="00ED2B29">
        <w:t xml:space="preserve">By extending </w:t>
      </w:r>
      <w:r w:rsidR="0000450E">
        <w:t>a</w:t>
      </w:r>
      <w:r w:rsidR="0000450E" w:rsidRPr="00ED2B29">
        <w:t xml:space="preserve"> </w:t>
      </w:r>
      <w:r w:rsidRPr="00ED2B29">
        <w:t>TCI state with a PCI, it becomes possible to use SSBs from non-serving cells as QCL source</w:t>
      </w:r>
      <w:r w:rsidR="00BE6E49">
        <w:t xml:space="preserve"> RS</w:t>
      </w:r>
      <w:r w:rsidRPr="00ED2B29">
        <w:t>. This includes performing measurements on CSI-RS</w:t>
      </w:r>
      <w:r w:rsidR="00140476">
        <w:t>.</w:t>
      </w:r>
      <w:r w:rsidR="008E5B8A">
        <w:t xml:space="preserve"> A </w:t>
      </w:r>
      <w:r w:rsidRPr="00ED2B29">
        <w:t>CSI-RS resource has a QCL source</w:t>
      </w:r>
      <w:r w:rsidR="00EF5B25">
        <w:t xml:space="preserve"> RS</w:t>
      </w:r>
      <w:r w:rsidRPr="00ED2B29">
        <w:t xml:space="preserve">, </w:t>
      </w:r>
      <w:r w:rsidR="00DA6A04">
        <w:t>thus</w:t>
      </w:r>
      <w:r w:rsidR="00DA6A04" w:rsidRPr="00ED2B29">
        <w:t xml:space="preserve"> </w:t>
      </w:r>
      <w:r w:rsidRPr="00ED2B29">
        <w:t xml:space="preserve">by allowing that QCL source </w:t>
      </w:r>
      <w:r w:rsidR="00DF2742">
        <w:t xml:space="preserve">RS </w:t>
      </w:r>
      <w:r w:rsidRPr="00ED2B29">
        <w:t xml:space="preserve">to point to an SSB </w:t>
      </w:r>
      <w:r w:rsidR="0059171D">
        <w:t>in a</w:t>
      </w:r>
      <w:r w:rsidR="00A64DEE">
        <w:t xml:space="preserve"> </w:t>
      </w:r>
      <w:r w:rsidR="006503A6">
        <w:t xml:space="preserve">non-serving </w:t>
      </w:r>
      <w:r w:rsidR="0059171D">
        <w:t>cell</w:t>
      </w:r>
      <w:r w:rsidRPr="00ED2B29">
        <w:t xml:space="preserve">, it becomes possible to perform measurements on </w:t>
      </w:r>
      <w:r w:rsidR="0085694F">
        <w:t>the</w:t>
      </w:r>
      <w:r w:rsidRPr="00ED2B29">
        <w:t xml:space="preserve"> CSI-RS, even when the CSI-RS is transmitted from a non-serving cell</w:t>
      </w:r>
      <w:r>
        <w:t>. It also includes reception of a PDSCH or a PDCCH from a</w:t>
      </w:r>
      <w:r w:rsidR="008F3AC5">
        <w:t xml:space="preserve">n additional </w:t>
      </w:r>
      <w:r>
        <w:t xml:space="preserve">cell, </w:t>
      </w:r>
      <w:r w:rsidR="00682788">
        <w:t xml:space="preserve">i.e., </w:t>
      </w:r>
      <w:r>
        <w:t xml:space="preserve">a TCI state </w:t>
      </w:r>
      <w:r w:rsidR="006A458C">
        <w:t xml:space="preserve">contains </w:t>
      </w:r>
      <w:r>
        <w:t xml:space="preserve">a TRS as the QCL source </w:t>
      </w:r>
      <w:r w:rsidR="00317786">
        <w:t xml:space="preserve">RS </w:t>
      </w:r>
      <w:r>
        <w:t xml:space="preserve">for DM-RS and the TRS </w:t>
      </w:r>
      <w:r w:rsidR="0003307B">
        <w:t xml:space="preserve">is </w:t>
      </w:r>
      <w:proofErr w:type="spellStart"/>
      <w:r w:rsidR="0003307B">
        <w:t>Q</w:t>
      </w:r>
      <w:r w:rsidR="008E3043">
        <w:t>CLed</w:t>
      </w:r>
      <w:proofErr w:type="spellEnd"/>
      <w:r>
        <w:t xml:space="preserve"> with an SSB+PCI as the QCL source</w:t>
      </w:r>
      <w:r w:rsidR="001635A5">
        <w:t xml:space="preserve"> RS</w:t>
      </w:r>
      <w:r>
        <w:t>.</w:t>
      </w:r>
    </w:p>
    <w:p w14:paraId="4487F728" w14:textId="77777777" w:rsidR="00D276AE" w:rsidRPr="00ED2B29" w:rsidRDefault="00D276AE" w:rsidP="00D276AE">
      <w:pPr>
        <w:pStyle w:val="Observation"/>
      </w:pPr>
      <w:bookmarkStart w:id="8" w:name="_Toc47366856"/>
      <w:bookmarkStart w:id="9" w:name="_Toc54391034"/>
      <w:r w:rsidRPr="00ED2B29">
        <w:t>By introducing a PCI in a TCI state, the UE may be configured to perform measurements on CSI-RS transmitted from a non-serving cell.</w:t>
      </w:r>
      <w:bookmarkEnd w:id="8"/>
      <w:bookmarkEnd w:id="9"/>
    </w:p>
    <w:p w14:paraId="79EC0864" w14:textId="77777777" w:rsidR="001B05ED" w:rsidRDefault="001B05ED" w:rsidP="00CE0424">
      <w:pPr>
        <w:pStyle w:val="BodyText"/>
      </w:pPr>
    </w:p>
    <w:p w14:paraId="6B9106AA" w14:textId="77777777" w:rsidR="0049554F" w:rsidRDefault="0049554F" w:rsidP="00CE0424">
      <w:pPr>
        <w:pStyle w:val="BodyText"/>
      </w:pPr>
    </w:p>
    <w:p w14:paraId="3F02A145" w14:textId="77777777" w:rsidR="00314239" w:rsidRDefault="00314239" w:rsidP="00CE0424">
      <w:pPr>
        <w:pStyle w:val="BodyText"/>
      </w:pPr>
    </w:p>
    <w:p w14:paraId="0CBE4A30" w14:textId="77777777" w:rsidR="00C473A5" w:rsidRDefault="00C473A5" w:rsidP="00CE0424">
      <w:pPr>
        <w:pStyle w:val="Heading1"/>
        <w:sectPr w:rsidR="00C473A5" w:rsidSect="009559E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B30CDA7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1A4E850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8BFBD2C" w14:textId="77777777" w:rsidR="008F58A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391033" w:history="1">
        <w:r w:rsidR="008F58AA" w:rsidRPr="00C9781D">
          <w:rPr>
            <w:rStyle w:val="Hyperlink"/>
            <w:noProof/>
          </w:rPr>
          <w:t>Observation 1</w:t>
        </w:r>
        <w:r w:rsidR="008F58A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8F58AA" w:rsidRPr="00C9781D">
          <w:rPr>
            <w:rStyle w:val="Hyperlink"/>
            <w:noProof/>
          </w:rPr>
          <w:t>To facilitate inter-cell multi-TRP operation, the CSI report configurations and the TCI needs to be updated.</w:t>
        </w:r>
      </w:hyperlink>
    </w:p>
    <w:p w14:paraId="6EC93A5E" w14:textId="77777777" w:rsidR="008F58AA" w:rsidRDefault="00F367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4391034" w:history="1">
        <w:r w:rsidR="008F58AA" w:rsidRPr="00C9781D">
          <w:rPr>
            <w:rStyle w:val="Hyperlink"/>
            <w:noProof/>
          </w:rPr>
          <w:t>Observation 2</w:t>
        </w:r>
        <w:r w:rsidR="008F58A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8F58AA" w:rsidRPr="00C9781D">
          <w:rPr>
            <w:rStyle w:val="Hyperlink"/>
            <w:noProof/>
          </w:rPr>
          <w:t>By introducing a PCI in a TCI state, the UE may be configured to perform measurements on CSI-RS transmitted from a non-serving cell.</w:t>
        </w:r>
      </w:hyperlink>
    </w:p>
    <w:p w14:paraId="6D3A206B" w14:textId="7777777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FA90F2" w14:textId="77777777" w:rsidR="006E1C82" w:rsidRDefault="006E1C82" w:rsidP="008E065E">
      <w:pPr>
        <w:pStyle w:val="BodyText"/>
        <w:rPr>
          <w:b/>
          <w:bCs/>
        </w:rPr>
      </w:pPr>
    </w:p>
    <w:p w14:paraId="4C97794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AA7562B" w14:textId="77777777" w:rsidR="008F58A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391091" w:history="1">
        <w:r w:rsidR="008F58AA" w:rsidRPr="00F57F1E">
          <w:rPr>
            <w:rStyle w:val="Hyperlink"/>
            <w:noProof/>
          </w:rPr>
          <w:t>Proposal 1</w:t>
        </w:r>
        <w:r w:rsidR="008F58A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8F58AA" w:rsidRPr="00F57F1E">
          <w:rPr>
            <w:rStyle w:val="Hyperlink"/>
            <w:noProof/>
          </w:rPr>
          <w:t>Start the inter-cell discussion for M-TRP as an extension on Rel-16 Multi-DCI assumption to support the non-ideal backhaul scenario, same carrier but with additional PCI.</w:t>
        </w:r>
      </w:hyperlink>
    </w:p>
    <w:p w14:paraId="20A176F4" w14:textId="77777777" w:rsidR="008F58AA" w:rsidRDefault="00F367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4391092" w:history="1">
        <w:r w:rsidR="008F58AA" w:rsidRPr="00F57F1E">
          <w:rPr>
            <w:rStyle w:val="Hyperlink"/>
            <w:noProof/>
          </w:rPr>
          <w:t>Proposal 2</w:t>
        </w:r>
        <w:r w:rsidR="008F58A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8F58AA" w:rsidRPr="00F57F1E">
          <w:rPr>
            <w:rStyle w:val="Hyperlink"/>
            <w:noProof/>
          </w:rPr>
          <w:t>Include a PCI in the TCI state (at least for TCI states referring to an SSB) to facilitate the use of reference signals from additional cells as QCL source RS.</w:t>
        </w:r>
      </w:hyperlink>
    </w:p>
    <w:p w14:paraId="431BE992" w14:textId="7777777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0DC6799" w14:textId="77777777" w:rsidR="008E065E" w:rsidRPr="00CE0424" w:rsidRDefault="008E065E" w:rsidP="008E065E">
      <w:pPr>
        <w:rPr>
          <w:b/>
          <w:bCs/>
        </w:rPr>
      </w:pPr>
    </w:p>
    <w:p w14:paraId="427F1F17" w14:textId="77777777" w:rsidR="008E065E" w:rsidRPr="00CE0424" w:rsidRDefault="008E065E" w:rsidP="008E065E">
      <w:pPr>
        <w:rPr>
          <w:b/>
          <w:bCs/>
        </w:rPr>
      </w:pPr>
    </w:p>
    <w:p w14:paraId="21D88C46" w14:textId="77777777" w:rsidR="00AB0BC8" w:rsidRPr="00CE0424" w:rsidRDefault="00AB0BC8" w:rsidP="00A04F49">
      <w:pPr>
        <w:rPr>
          <w:b/>
          <w:bCs/>
        </w:rPr>
      </w:pPr>
    </w:p>
    <w:p w14:paraId="0B8A27E2" w14:textId="77777777" w:rsidR="00311702" w:rsidRPr="00CE0424" w:rsidRDefault="00311702" w:rsidP="00AB0BC8"/>
    <w:p w14:paraId="4E28C365" w14:textId="77777777" w:rsidR="00C01F33" w:rsidRPr="00CE0424" w:rsidRDefault="00C01F33" w:rsidP="006E062C"/>
    <w:p w14:paraId="0CDCDFAC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107D8521" w14:textId="2B6D6DB3" w:rsidR="005F3025" w:rsidRPr="00CE0424" w:rsidRDefault="0075744B" w:rsidP="00311702">
      <w:pPr>
        <w:pStyle w:val="Reference"/>
      </w:pPr>
      <w:bookmarkStart w:id="11" w:name="_Ref174151459"/>
      <w:bookmarkStart w:id="12" w:name="_Ref189809556"/>
      <w:r>
        <w:t>RAN 1 Chairman’s note</w:t>
      </w:r>
      <w:r w:rsidR="005F3025" w:rsidRPr="00CE0424">
        <w:t xml:space="preserve">, </w:t>
      </w:r>
      <w:r w:rsidR="00974BDB">
        <w:t>#102-e</w:t>
      </w:r>
      <w:r w:rsidR="005F3025" w:rsidRPr="00CE0424">
        <w:t xml:space="preserve">, </w:t>
      </w:r>
      <w:r w:rsidR="00FD0D76">
        <w:t xml:space="preserve">August </w:t>
      </w:r>
      <w:r w:rsidR="004D7ECF">
        <w:t>2020</w:t>
      </w:r>
    </w:p>
    <w:bookmarkEnd w:id="11"/>
    <w:bookmarkEnd w:id="12"/>
    <w:p w14:paraId="6B225E1A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060F1" w14:textId="77777777" w:rsidR="00F367E7" w:rsidRDefault="00F367E7">
      <w:r>
        <w:separator/>
      </w:r>
    </w:p>
  </w:endnote>
  <w:endnote w:type="continuationSeparator" w:id="0">
    <w:p w14:paraId="30571CAD" w14:textId="77777777" w:rsidR="00F367E7" w:rsidRDefault="00F367E7">
      <w:r>
        <w:continuationSeparator/>
      </w:r>
    </w:p>
  </w:endnote>
  <w:endnote w:type="continuationNotice" w:id="1">
    <w:p w14:paraId="607BA993" w14:textId="77777777" w:rsidR="00F367E7" w:rsidRDefault="00F367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B6ED4" w14:textId="77777777" w:rsidR="00F367E7" w:rsidRDefault="00F367E7">
      <w:r>
        <w:separator/>
      </w:r>
    </w:p>
  </w:footnote>
  <w:footnote w:type="continuationSeparator" w:id="0">
    <w:p w14:paraId="71651D9A" w14:textId="77777777" w:rsidR="00F367E7" w:rsidRDefault="00F367E7">
      <w:r>
        <w:continuationSeparator/>
      </w:r>
    </w:p>
  </w:footnote>
  <w:footnote w:type="continuationNotice" w:id="1">
    <w:p w14:paraId="217D08CD" w14:textId="77777777" w:rsidR="00F367E7" w:rsidRDefault="00F367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3D781B"/>
    <w:multiLevelType w:val="hybridMultilevel"/>
    <w:tmpl w:val="C9D22E24"/>
    <w:lvl w:ilvl="0" w:tplc="4EC8B26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60FD1"/>
    <w:multiLevelType w:val="hybridMultilevel"/>
    <w:tmpl w:val="CBB20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21"/>
  </w:num>
  <w:num w:numId="24">
    <w:abstractNumId w:val="20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BC"/>
    <w:rsid w:val="000006E1"/>
    <w:rsid w:val="00002A37"/>
    <w:rsid w:val="0000450E"/>
    <w:rsid w:val="00004718"/>
    <w:rsid w:val="0000564C"/>
    <w:rsid w:val="00006446"/>
    <w:rsid w:val="00006896"/>
    <w:rsid w:val="00007CDC"/>
    <w:rsid w:val="00011B28"/>
    <w:rsid w:val="0001497D"/>
    <w:rsid w:val="00015D15"/>
    <w:rsid w:val="0002564D"/>
    <w:rsid w:val="00025ECA"/>
    <w:rsid w:val="000325B8"/>
    <w:rsid w:val="0003307B"/>
    <w:rsid w:val="00034C15"/>
    <w:rsid w:val="00036BA1"/>
    <w:rsid w:val="000422E2"/>
    <w:rsid w:val="00042F22"/>
    <w:rsid w:val="000444EF"/>
    <w:rsid w:val="000454FA"/>
    <w:rsid w:val="000472BA"/>
    <w:rsid w:val="00052A07"/>
    <w:rsid w:val="000534E3"/>
    <w:rsid w:val="0005606A"/>
    <w:rsid w:val="00057117"/>
    <w:rsid w:val="000616E7"/>
    <w:rsid w:val="0006395B"/>
    <w:rsid w:val="0006487E"/>
    <w:rsid w:val="00065E1A"/>
    <w:rsid w:val="00071D69"/>
    <w:rsid w:val="00074C0C"/>
    <w:rsid w:val="00075B30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305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45F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476"/>
    <w:rsid w:val="00151E23"/>
    <w:rsid w:val="001526E0"/>
    <w:rsid w:val="001551B5"/>
    <w:rsid w:val="001635A5"/>
    <w:rsid w:val="001659C1"/>
    <w:rsid w:val="00173A8E"/>
    <w:rsid w:val="0017502C"/>
    <w:rsid w:val="0018143F"/>
    <w:rsid w:val="00181FF8"/>
    <w:rsid w:val="00190AC1"/>
    <w:rsid w:val="0019341A"/>
    <w:rsid w:val="00197DF9"/>
    <w:rsid w:val="001A1910"/>
    <w:rsid w:val="001A1987"/>
    <w:rsid w:val="001A2564"/>
    <w:rsid w:val="001A6173"/>
    <w:rsid w:val="001A6CBA"/>
    <w:rsid w:val="001B05ED"/>
    <w:rsid w:val="001B0D97"/>
    <w:rsid w:val="001B5A5D"/>
    <w:rsid w:val="001C1529"/>
    <w:rsid w:val="001C1CE5"/>
    <w:rsid w:val="001C3D2A"/>
    <w:rsid w:val="001D51BA"/>
    <w:rsid w:val="001D53E7"/>
    <w:rsid w:val="001D617E"/>
    <w:rsid w:val="001D6342"/>
    <w:rsid w:val="001D6D53"/>
    <w:rsid w:val="001E58E2"/>
    <w:rsid w:val="001E6BB5"/>
    <w:rsid w:val="001E769C"/>
    <w:rsid w:val="001E7AED"/>
    <w:rsid w:val="001F1CD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236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44B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6E4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239"/>
    <w:rsid w:val="003143BD"/>
    <w:rsid w:val="00315363"/>
    <w:rsid w:val="003172C9"/>
    <w:rsid w:val="00317786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4B52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277FE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14BE"/>
    <w:rsid w:val="00492BC5"/>
    <w:rsid w:val="0049554F"/>
    <w:rsid w:val="004964F1"/>
    <w:rsid w:val="004A14B7"/>
    <w:rsid w:val="004A16BC"/>
    <w:rsid w:val="004A2B94"/>
    <w:rsid w:val="004B6F6A"/>
    <w:rsid w:val="004B70A5"/>
    <w:rsid w:val="004B7C0C"/>
    <w:rsid w:val="004C3898"/>
    <w:rsid w:val="004D36B1"/>
    <w:rsid w:val="004D7EBD"/>
    <w:rsid w:val="004D7ECF"/>
    <w:rsid w:val="004E2680"/>
    <w:rsid w:val="004E28F9"/>
    <w:rsid w:val="004E462E"/>
    <w:rsid w:val="004E56DC"/>
    <w:rsid w:val="004E76F4"/>
    <w:rsid w:val="004F031C"/>
    <w:rsid w:val="004F0B4E"/>
    <w:rsid w:val="004F0B6C"/>
    <w:rsid w:val="004F2078"/>
    <w:rsid w:val="004F4385"/>
    <w:rsid w:val="004F4DA3"/>
    <w:rsid w:val="004F7584"/>
    <w:rsid w:val="00506557"/>
    <w:rsid w:val="0050677A"/>
    <w:rsid w:val="00507373"/>
    <w:rsid w:val="005108D8"/>
    <w:rsid w:val="005116F9"/>
    <w:rsid w:val="00513F99"/>
    <w:rsid w:val="005153A7"/>
    <w:rsid w:val="005219CF"/>
    <w:rsid w:val="0052272E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171D"/>
    <w:rsid w:val="005935A4"/>
    <w:rsid w:val="005948C2"/>
    <w:rsid w:val="00595DCA"/>
    <w:rsid w:val="0059779B"/>
    <w:rsid w:val="005A209A"/>
    <w:rsid w:val="005A662D"/>
    <w:rsid w:val="005A7095"/>
    <w:rsid w:val="005B1409"/>
    <w:rsid w:val="005B35D7"/>
    <w:rsid w:val="005B392A"/>
    <w:rsid w:val="005B3AA3"/>
    <w:rsid w:val="005B6F83"/>
    <w:rsid w:val="005C0662"/>
    <w:rsid w:val="005C74FB"/>
    <w:rsid w:val="005D1602"/>
    <w:rsid w:val="005E066C"/>
    <w:rsid w:val="005E385F"/>
    <w:rsid w:val="005E5B81"/>
    <w:rsid w:val="005F2AF9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47D"/>
    <w:rsid w:val="00630001"/>
    <w:rsid w:val="006311B3"/>
    <w:rsid w:val="0063284C"/>
    <w:rsid w:val="00636398"/>
    <w:rsid w:val="006368D3"/>
    <w:rsid w:val="006377EC"/>
    <w:rsid w:val="006404CC"/>
    <w:rsid w:val="0064151F"/>
    <w:rsid w:val="00641533"/>
    <w:rsid w:val="0064208D"/>
    <w:rsid w:val="00643475"/>
    <w:rsid w:val="0064396A"/>
    <w:rsid w:val="0064624E"/>
    <w:rsid w:val="006503A6"/>
    <w:rsid w:val="006503DD"/>
    <w:rsid w:val="00650AB9"/>
    <w:rsid w:val="00655733"/>
    <w:rsid w:val="00655ACD"/>
    <w:rsid w:val="00656A92"/>
    <w:rsid w:val="00656DDE"/>
    <w:rsid w:val="00657890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788"/>
    <w:rsid w:val="00683ECE"/>
    <w:rsid w:val="00695FC2"/>
    <w:rsid w:val="00696949"/>
    <w:rsid w:val="00697052"/>
    <w:rsid w:val="006A458C"/>
    <w:rsid w:val="006A46FB"/>
    <w:rsid w:val="006A5E28"/>
    <w:rsid w:val="006A697B"/>
    <w:rsid w:val="006A7AFF"/>
    <w:rsid w:val="006B1816"/>
    <w:rsid w:val="006B2099"/>
    <w:rsid w:val="006B3304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CBB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44B"/>
    <w:rsid w:val="007578FB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FBC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CB7"/>
    <w:rsid w:val="007C60BF"/>
    <w:rsid w:val="007C6A07"/>
    <w:rsid w:val="007C75A1"/>
    <w:rsid w:val="007C77A5"/>
    <w:rsid w:val="007D04E5"/>
    <w:rsid w:val="007D5901"/>
    <w:rsid w:val="007D74C4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78A"/>
    <w:rsid w:val="008376AC"/>
    <w:rsid w:val="008444E8"/>
    <w:rsid w:val="00844E80"/>
    <w:rsid w:val="00846FE7"/>
    <w:rsid w:val="00856911"/>
    <w:rsid w:val="0085694F"/>
    <w:rsid w:val="008677FD"/>
    <w:rsid w:val="00867B9A"/>
    <w:rsid w:val="008706D4"/>
    <w:rsid w:val="00870F8A"/>
    <w:rsid w:val="008719A4"/>
    <w:rsid w:val="00871D23"/>
    <w:rsid w:val="00874312"/>
    <w:rsid w:val="0087437C"/>
    <w:rsid w:val="00875C49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0FF8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1C50"/>
    <w:rsid w:val="008E3043"/>
    <w:rsid w:val="008E5B8A"/>
    <w:rsid w:val="008F1C4E"/>
    <w:rsid w:val="008F1EAB"/>
    <w:rsid w:val="008F33DC"/>
    <w:rsid w:val="008F3AC5"/>
    <w:rsid w:val="008F426B"/>
    <w:rsid w:val="008F477F"/>
    <w:rsid w:val="008F58A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BE4"/>
    <w:rsid w:val="009368F3"/>
    <w:rsid w:val="00941636"/>
    <w:rsid w:val="00943742"/>
    <w:rsid w:val="00945C05"/>
    <w:rsid w:val="00946945"/>
    <w:rsid w:val="00947713"/>
    <w:rsid w:val="00950553"/>
    <w:rsid w:val="00950DE7"/>
    <w:rsid w:val="00953920"/>
    <w:rsid w:val="00953D47"/>
    <w:rsid w:val="009547CA"/>
    <w:rsid w:val="009559EC"/>
    <w:rsid w:val="0095681E"/>
    <w:rsid w:val="009572D4"/>
    <w:rsid w:val="00961921"/>
    <w:rsid w:val="0096430A"/>
    <w:rsid w:val="0096554B"/>
    <w:rsid w:val="0096584A"/>
    <w:rsid w:val="00971F08"/>
    <w:rsid w:val="00974BDB"/>
    <w:rsid w:val="0097603D"/>
    <w:rsid w:val="00976949"/>
    <w:rsid w:val="00980477"/>
    <w:rsid w:val="00985253"/>
    <w:rsid w:val="009853B3"/>
    <w:rsid w:val="009872C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31B"/>
    <w:rsid w:val="00A63483"/>
    <w:rsid w:val="00A64DEE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A7B"/>
    <w:rsid w:val="00AA51D6"/>
    <w:rsid w:val="00AB0BC8"/>
    <w:rsid w:val="00AB11CA"/>
    <w:rsid w:val="00AB14D9"/>
    <w:rsid w:val="00AB4AB8"/>
    <w:rsid w:val="00AB5E8C"/>
    <w:rsid w:val="00AB655E"/>
    <w:rsid w:val="00AC007F"/>
    <w:rsid w:val="00AC2ECD"/>
    <w:rsid w:val="00AC3119"/>
    <w:rsid w:val="00AC49FB"/>
    <w:rsid w:val="00AC5A10"/>
    <w:rsid w:val="00AD0AA3"/>
    <w:rsid w:val="00AD1E34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4F1"/>
    <w:rsid w:val="00B157F9"/>
    <w:rsid w:val="00B20256"/>
    <w:rsid w:val="00B20D09"/>
    <w:rsid w:val="00B2763F"/>
    <w:rsid w:val="00B27AAC"/>
    <w:rsid w:val="00B30929"/>
    <w:rsid w:val="00B3280A"/>
    <w:rsid w:val="00B32FA1"/>
    <w:rsid w:val="00B372AA"/>
    <w:rsid w:val="00B40445"/>
    <w:rsid w:val="00B40534"/>
    <w:rsid w:val="00B409E0"/>
    <w:rsid w:val="00B41888"/>
    <w:rsid w:val="00B45A52"/>
    <w:rsid w:val="00B46175"/>
    <w:rsid w:val="00B548B7"/>
    <w:rsid w:val="00B57B69"/>
    <w:rsid w:val="00B60F03"/>
    <w:rsid w:val="00B664C7"/>
    <w:rsid w:val="00B739F6"/>
    <w:rsid w:val="00B81A6C"/>
    <w:rsid w:val="00B85DE5"/>
    <w:rsid w:val="00B90F73"/>
    <w:rsid w:val="00B93B59"/>
    <w:rsid w:val="00B9406A"/>
    <w:rsid w:val="00BA2280"/>
    <w:rsid w:val="00BA2608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E49"/>
    <w:rsid w:val="00BE7406"/>
    <w:rsid w:val="00BE7603"/>
    <w:rsid w:val="00BF0C3B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3926"/>
    <w:rsid w:val="00C3719D"/>
    <w:rsid w:val="00C37CB2"/>
    <w:rsid w:val="00C46BD9"/>
    <w:rsid w:val="00C473A5"/>
    <w:rsid w:val="00C54995"/>
    <w:rsid w:val="00C54D41"/>
    <w:rsid w:val="00C60783"/>
    <w:rsid w:val="00C64672"/>
    <w:rsid w:val="00C6501D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B3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1C5"/>
    <w:rsid w:val="00CD337B"/>
    <w:rsid w:val="00CE0424"/>
    <w:rsid w:val="00CE7561"/>
    <w:rsid w:val="00CF1354"/>
    <w:rsid w:val="00CF3B1F"/>
    <w:rsid w:val="00CF3BF6"/>
    <w:rsid w:val="00CF625B"/>
    <w:rsid w:val="00CF687E"/>
    <w:rsid w:val="00CF7B8D"/>
    <w:rsid w:val="00D0349B"/>
    <w:rsid w:val="00D10249"/>
    <w:rsid w:val="00D115C3"/>
    <w:rsid w:val="00D11897"/>
    <w:rsid w:val="00D13135"/>
    <w:rsid w:val="00D13E4E"/>
    <w:rsid w:val="00D20135"/>
    <w:rsid w:val="00D239A7"/>
    <w:rsid w:val="00D23F47"/>
    <w:rsid w:val="00D276A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4E1"/>
    <w:rsid w:val="00D652B5"/>
    <w:rsid w:val="00D66155"/>
    <w:rsid w:val="00D708B0"/>
    <w:rsid w:val="00D74E41"/>
    <w:rsid w:val="00D77B1D"/>
    <w:rsid w:val="00D8021F"/>
    <w:rsid w:val="00D80383"/>
    <w:rsid w:val="00D823C6"/>
    <w:rsid w:val="00D8327F"/>
    <w:rsid w:val="00D857EC"/>
    <w:rsid w:val="00D85DB3"/>
    <w:rsid w:val="00D86CA3"/>
    <w:rsid w:val="00D871CE"/>
    <w:rsid w:val="00D9196D"/>
    <w:rsid w:val="00D92982"/>
    <w:rsid w:val="00DA305E"/>
    <w:rsid w:val="00DA5417"/>
    <w:rsid w:val="00DA56E8"/>
    <w:rsid w:val="00DA6A04"/>
    <w:rsid w:val="00DB0A9F"/>
    <w:rsid w:val="00DB2696"/>
    <w:rsid w:val="00DB377D"/>
    <w:rsid w:val="00DC2D36"/>
    <w:rsid w:val="00DC53EF"/>
    <w:rsid w:val="00DE5608"/>
    <w:rsid w:val="00DE58D0"/>
    <w:rsid w:val="00DE654F"/>
    <w:rsid w:val="00DF0B6E"/>
    <w:rsid w:val="00DF15E0"/>
    <w:rsid w:val="00DF2742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994"/>
    <w:rsid w:val="00E446F1"/>
    <w:rsid w:val="00E46886"/>
    <w:rsid w:val="00E46EBB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386"/>
    <w:rsid w:val="00EB4EA2"/>
    <w:rsid w:val="00EC24D5"/>
    <w:rsid w:val="00EC27C6"/>
    <w:rsid w:val="00EC4207"/>
    <w:rsid w:val="00EC5653"/>
    <w:rsid w:val="00EC63F9"/>
    <w:rsid w:val="00EC71CE"/>
    <w:rsid w:val="00ED1006"/>
    <w:rsid w:val="00EF18FE"/>
    <w:rsid w:val="00EF5787"/>
    <w:rsid w:val="00EF5B25"/>
    <w:rsid w:val="00EF60D0"/>
    <w:rsid w:val="00F0528D"/>
    <w:rsid w:val="00F06C67"/>
    <w:rsid w:val="00F06DFD"/>
    <w:rsid w:val="00F071D1"/>
    <w:rsid w:val="00F07533"/>
    <w:rsid w:val="00F10629"/>
    <w:rsid w:val="00F14110"/>
    <w:rsid w:val="00F15FA5"/>
    <w:rsid w:val="00F209B7"/>
    <w:rsid w:val="00F2376F"/>
    <w:rsid w:val="00F243D8"/>
    <w:rsid w:val="00F30828"/>
    <w:rsid w:val="00F313D6"/>
    <w:rsid w:val="00F367E7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4D48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271"/>
    <w:rsid w:val="00FA2BB3"/>
    <w:rsid w:val="00FB4C80"/>
    <w:rsid w:val="00FB6A6A"/>
    <w:rsid w:val="00FC2480"/>
    <w:rsid w:val="00FC5CD7"/>
    <w:rsid w:val="00FC7429"/>
    <w:rsid w:val="00FD07F6"/>
    <w:rsid w:val="00FD0D7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7AEA9F"/>
  <w15:chartTrackingRefBased/>
  <w15:docId w15:val="{6D5B8325-37EC-49F1-B461-F2773450E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5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1C15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C15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C15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C15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C15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C15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15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C15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C152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15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1529"/>
  </w:style>
  <w:style w:type="paragraph" w:styleId="TOC8">
    <w:name w:val="toc 8"/>
    <w:basedOn w:val="TOC1"/>
    <w:uiPriority w:val="39"/>
    <w:rsid w:val="001C15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C15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C152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C152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C1529"/>
    <w:pPr>
      <w:ind w:left="1701" w:hanging="1701"/>
    </w:pPr>
  </w:style>
  <w:style w:type="paragraph" w:styleId="TOC4">
    <w:name w:val="toc 4"/>
    <w:basedOn w:val="TOC3"/>
    <w:uiPriority w:val="39"/>
    <w:rsid w:val="001C1529"/>
    <w:pPr>
      <w:ind w:left="1418" w:hanging="1418"/>
    </w:pPr>
  </w:style>
  <w:style w:type="paragraph" w:styleId="TOC3">
    <w:name w:val="toc 3"/>
    <w:basedOn w:val="TOC2"/>
    <w:uiPriority w:val="39"/>
    <w:rsid w:val="001C1529"/>
    <w:pPr>
      <w:ind w:left="1134" w:hanging="1134"/>
    </w:pPr>
  </w:style>
  <w:style w:type="paragraph" w:styleId="TOC2">
    <w:name w:val="toc 2"/>
    <w:basedOn w:val="TOC1"/>
    <w:uiPriority w:val="39"/>
    <w:rsid w:val="001C15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C1529"/>
    <w:pPr>
      <w:ind w:left="284"/>
    </w:pPr>
  </w:style>
  <w:style w:type="paragraph" w:styleId="Index1">
    <w:name w:val="index 1"/>
    <w:basedOn w:val="Normal"/>
    <w:rsid w:val="001C1529"/>
    <w:pPr>
      <w:keepLines/>
      <w:spacing w:after="0"/>
    </w:pPr>
  </w:style>
  <w:style w:type="paragraph" w:styleId="DocumentMap">
    <w:name w:val="Document Map"/>
    <w:basedOn w:val="Normal"/>
    <w:link w:val="DocumentMapChar"/>
    <w:rsid w:val="001C152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C1529"/>
    <w:pPr>
      <w:numPr>
        <w:numId w:val="22"/>
      </w:numPr>
    </w:pPr>
  </w:style>
  <w:style w:type="paragraph" w:styleId="ListNumber">
    <w:name w:val="List Number"/>
    <w:basedOn w:val="List"/>
    <w:rsid w:val="001C152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C1529"/>
    <w:pPr>
      <w:ind w:left="568" w:hanging="284"/>
    </w:pPr>
  </w:style>
  <w:style w:type="paragraph" w:styleId="Header">
    <w:name w:val="header"/>
    <w:link w:val="HeaderChar"/>
    <w:rsid w:val="001C15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1C15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C152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C152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C1529"/>
    <w:pPr>
      <w:ind w:left="1418" w:hanging="1418"/>
    </w:pPr>
  </w:style>
  <w:style w:type="paragraph" w:styleId="TOC6">
    <w:name w:val="toc 6"/>
    <w:basedOn w:val="TOC5"/>
    <w:next w:val="Normal"/>
    <w:uiPriority w:val="39"/>
    <w:rsid w:val="001C1529"/>
    <w:pPr>
      <w:ind w:left="1985" w:hanging="1985"/>
    </w:pPr>
  </w:style>
  <w:style w:type="paragraph" w:styleId="TOC7">
    <w:name w:val="toc 7"/>
    <w:basedOn w:val="TOC6"/>
    <w:next w:val="Normal"/>
    <w:uiPriority w:val="39"/>
    <w:rsid w:val="001C1529"/>
    <w:pPr>
      <w:ind w:left="2268" w:hanging="2268"/>
    </w:pPr>
  </w:style>
  <w:style w:type="paragraph" w:styleId="ListBullet2">
    <w:name w:val="List Bullet 2"/>
    <w:basedOn w:val="ListBullet"/>
    <w:rsid w:val="001C1529"/>
    <w:pPr>
      <w:numPr>
        <w:numId w:val="17"/>
      </w:numPr>
    </w:pPr>
  </w:style>
  <w:style w:type="paragraph" w:styleId="ListBullet">
    <w:name w:val="List Bullet"/>
    <w:basedOn w:val="List"/>
    <w:rsid w:val="001C152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C1529"/>
    <w:pPr>
      <w:numPr>
        <w:numId w:val="18"/>
      </w:numPr>
    </w:pPr>
  </w:style>
  <w:style w:type="paragraph" w:customStyle="1" w:styleId="EQ">
    <w:name w:val="EQ"/>
    <w:basedOn w:val="Normal"/>
    <w:next w:val="Normal"/>
    <w:rsid w:val="001C152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C1529"/>
    <w:pPr>
      <w:ind w:left="851"/>
    </w:pPr>
    <w:rPr>
      <w:lang w:eastAsia="ja-JP"/>
    </w:rPr>
  </w:style>
  <w:style w:type="paragraph" w:styleId="List3">
    <w:name w:val="List 3"/>
    <w:basedOn w:val="List2"/>
    <w:rsid w:val="001C1529"/>
    <w:pPr>
      <w:ind w:left="1135"/>
    </w:pPr>
  </w:style>
  <w:style w:type="paragraph" w:styleId="List4">
    <w:name w:val="List 4"/>
    <w:basedOn w:val="List3"/>
    <w:rsid w:val="001C1529"/>
    <w:pPr>
      <w:ind w:left="1418"/>
    </w:pPr>
  </w:style>
  <w:style w:type="paragraph" w:styleId="List5">
    <w:name w:val="List 5"/>
    <w:basedOn w:val="List4"/>
    <w:rsid w:val="001C1529"/>
    <w:pPr>
      <w:ind w:left="1702"/>
    </w:pPr>
  </w:style>
  <w:style w:type="paragraph" w:customStyle="1" w:styleId="EditorsNote">
    <w:name w:val="Editor's Note"/>
    <w:basedOn w:val="NO"/>
    <w:link w:val="EditorsNoteChar"/>
    <w:rsid w:val="001C1529"/>
    <w:rPr>
      <w:color w:val="FF0000"/>
      <w:lang w:val="x-none" w:eastAsia="x-none"/>
    </w:rPr>
  </w:style>
  <w:style w:type="paragraph" w:styleId="ListBullet4">
    <w:name w:val="List Bullet 4"/>
    <w:basedOn w:val="ListBullet3"/>
    <w:rsid w:val="001C1529"/>
    <w:pPr>
      <w:numPr>
        <w:numId w:val="19"/>
      </w:numPr>
    </w:pPr>
  </w:style>
  <w:style w:type="paragraph" w:styleId="ListBullet5">
    <w:name w:val="List Bullet 5"/>
    <w:basedOn w:val="ListBullet4"/>
    <w:rsid w:val="001C1529"/>
    <w:pPr>
      <w:numPr>
        <w:numId w:val="20"/>
      </w:numPr>
    </w:pPr>
  </w:style>
  <w:style w:type="paragraph" w:styleId="Footer">
    <w:name w:val="footer"/>
    <w:basedOn w:val="Header"/>
    <w:link w:val="FooterChar"/>
    <w:rsid w:val="001C1529"/>
    <w:pPr>
      <w:jc w:val="center"/>
    </w:pPr>
    <w:rPr>
      <w:i/>
    </w:rPr>
  </w:style>
  <w:style w:type="paragraph" w:customStyle="1" w:styleId="Reference">
    <w:name w:val="Reference"/>
    <w:basedOn w:val="BodyText"/>
    <w:rsid w:val="001C152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C152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C1529"/>
  </w:style>
  <w:style w:type="paragraph" w:styleId="BodyText">
    <w:name w:val="Body Text"/>
    <w:basedOn w:val="Normal"/>
    <w:link w:val="BodyTextChar"/>
    <w:rsid w:val="001C152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1C1529"/>
    <w:rPr>
      <w:color w:val="0000FF"/>
      <w:u w:val="single"/>
    </w:rPr>
  </w:style>
  <w:style w:type="character" w:styleId="FollowedHyperlink">
    <w:name w:val="FollowedHyperlink"/>
    <w:unhideWhenUsed/>
    <w:rsid w:val="001C1529"/>
    <w:rPr>
      <w:color w:val="800080"/>
      <w:u w:val="single"/>
    </w:rPr>
  </w:style>
  <w:style w:type="character" w:styleId="CommentReference">
    <w:name w:val="annotation reference"/>
    <w:uiPriority w:val="99"/>
    <w:qFormat/>
    <w:rsid w:val="001C15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1529"/>
  </w:style>
  <w:style w:type="paragraph" w:styleId="CommentSubject">
    <w:name w:val="annotation subject"/>
    <w:basedOn w:val="CommentText"/>
    <w:next w:val="CommentText"/>
    <w:link w:val="CommentSubjectChar"/>
    <w:rsid w:val="001C1529"/>
    <w:rPr>
      <w:b/>
      <w:bCs/>
    </w:rPr>
  </w:style>
  <w:style w:type="character" w:customStyle="1" w:styleId="Heading1Char">
    <w:name w:val="Heading 1 Char"/>
    <w:link w:val="Heading1"/>
    <w:rsid w:val="001C1529"/>
    <w:rPr>
      <w:rFonts w:ascii="Arial" w:eastAsia="Times New Roman" w:hAnsi="Arial"/>
      <w:sz w:val="36"/>
      <w:lang w:eastAsia="ja-JP"/>
    </w:rPr>
  </w:style>
  <w:style w:type="paragraph" w:customStyle="1" w:styleId="B1">
    <w:name w:val="B1"/>
    <w:basedOn w:val="List"/>
    <w:link w:val="B1Char1"/>
    <w:rsid w:val="001C152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C152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C152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C1529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rsid w:val="001C152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C1529"/>
    <w:rPr>
      <w:rFonts w:ascii="Arial" w:eastAsia="Times New Roman" w:hAnsi="Arial"/>
      <w:lang w:eastAsia="zh-CN"/>
    </w:rPr>
  </w:style>
  <w:style w:type="paragraph" w:customStyle="1" w:styleId="B5">
    <w:name w:val="B5"/>
    <w:basedOn w:val="List5"/>
    <w:link w:val="B5Char"/>
    <w:rsid w:val="001C1529"/>
    <w:rPr>
      <w:rFonts w:ascii="Times New Roman" w:hAnsi="Times New Roman"/>
    </w:rPr>
  </w:style>
  <w:style w:type="paragraph" w:customStyle="1" w:styleId="EX">
    <w:name w:val="EX"/>
    <w:basedOn w:val="Normal"/>
    <w:rsid w:val="001C1529"/>
    <w:pPr>
      <w:keepLines/>
      <w:ind w:left="1702" w:hanging="1418"/>
    </w:pPr>
  </w:style>
  <w:style w:type="paragraph" w:customStyle="1" w:styleId="EW">
    <w:name w:val="EW"/>
    <w:basedOn w:val="EX"/>
    <w:rsid w:val="001C1529"/>
    <w:pPr>
      <w:spacing w:after="0"/>
    </w:pPr>
  </w:style>
  <w:style w:type="paragraph" w:customStyle="1" w:styleId="TAL">
    <w:name w:val="TAL"/>
    <w:basedOn w:val="Normal"/>
    <w:link w:val="TALCar"/>
    <w:rsid w:val="001C152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1C1529"/>
    <w:pPr>
      <w:jc w:val="center"/>
    </w:pPr>
  </w:style>
  <w:style w:type="paragraph" w:customStyle="1" w:styleId="TAH">
    <w:name w:val="TAH"/>
    <w:basedOn w:val="TAC"/>
    <w:link w:val="TAHCar"/>
    <w:rsid w:val="001C1529"/>
    <w:rPr>
      <w:b/>
    </w:rPr>
  </w:style>
  <w:style w:type="paragraph" w:customStyle="1" w:styleId="TAN">
    <w:name w:val="TAN"/>
    <w:basedOn w:val="TAL"/>
    <w:rsid w:val="001C1529"/>
    <w:pPr>
      <w:ind w:left="851" w:hanging="851"/>
    </w:pPr>
  </w:style>
  <w:style w:type="paragraph" w:customStyle="1" w:styleId="TAR">
    <w:name w:val="TAR"/>
    <w:basedOn w:val="TAL"/>
    <w:rsid w:val="001C1529"/>
    <w:pPr>
      <w:jc w:val="right"/>
    </w:pPr>
  </w:style>
  <w:style w:type="paragraph" w:customStyle="1" w:styleId="TH">
    <w:name w:val="TH"/>
    <w:basedOn w:val="Normal"/>
    <w:link w:val="THChar"/>
    <w:rsid w:val="001C152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C152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C1529"/>
    <w:pPr>
      <w:outlineLvl w:val="9"/>
    </w:pPr>
  </w:style>
  <w:style w:type="paragraph" w:customStyle="1" w:styleId="ZA">
    <w:name w:val="ZA"/>
    <w:rsid w:val="001C15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C15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1C15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1C15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1C1529"/>
  </w:style>
  <w:style w:type="paragraph" w:customStyle="1" w:styleId="ZH">
    <w:name w:val="ZH"/>
    <w:rsid w:val="001C15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1C15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1C152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C15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1C1529"/>
    <w:pPr>
      <w:framePr w:wrap="notBeside" w:y="16161"/>
    </w:pPr>
  </w:style>
  <w:style w:type="paragraph" w:customStyle="1" w:styleId="FP">
    <w:name w:val="FP"/>
    <w:basedOn w:val="Normal"/>
    <w:rsid w:val="001C1529"/>
    <w:pPr>
      <w:spacing w:after="0"/>
    </w:pPr>
  </w:style>
  <w:style w:type="paragraph" w:customStyle="1" w:styleId="Observation">
    <w:name w:val="Observation"/>
    <w:basedOn w:val="Proposal"/>
    <w:qFormat/>
    <w:rsid w:val="001C152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C152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C1529"/>
    <w:rPr>
      <w:rFonts w:ascii="Times New Roman" w:eastAsia="Times New Roman" w:hAnsi="Times New Roman"/>
      <w:lang w:eastAsia="zh-CN"/>
    </w:rPr>
  </w:style>
  <w:style w:type="character" w:customStyle="1" w:styleId="B2Char">
    <w:name w:val="B2 Char"/>
    <w:link w:val="B2"/>
    <w:qFormat/>
    <w:rsid w:val="001C1529"/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C1529"/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rsid w:val="001C1529"/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1C1529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rsid w:val="001C1529"/>
    <w:pPr>
      <w:ind w:left="1985"/>
    </w:pPr>
  </w:style>
  <w:style w:type="character" w:customStyle="1" w:styleId="B6Char">
    <w:name w:val="B6 Char"/>
    <w:link w:val="B6"/>
    <w:rsid w:val="001C1529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1C1529"/>
    <w:pPr>
      <w:ind w:left="2269"/>
    </w:pPr>
  </w:style>
  <w:style w:type="character" w:customStyle="1" w:styleId="B7Char">
    <w:name w:val="B7 Char"/>
    <w:basedOn w:val="B6Char"/>
    <w:link w:val="B7"/>
    <w:rsid w:val="001C1529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1C1529"/>
    <w:pPr>
      <w:ind w:left="2552"/>
    </w:pPr>
  </w:style>
  <w:style w:type="character" w:customStyle="1" w:styleId="BalloonTextChar">
    <w:name w:val="Balloon Text Char"/>
    <w:link w:val="BalloonText"/>
    <w:rsid w:val="001C1529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1C1529"/>
    <w:rPr>
      <w:rFonts w:ascii="Times New Roman" w:eastAsia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C1529"/>
    <w:rPr>
      <w:rFonts w:ascii="Times New Roman" w:eastAsia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C1529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1C1529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C15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C152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C1529"/>
    <w:rPr>
      <w:rFonts w:ascii="Tahoma" w:eastAsia="Times New Roman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C1529"/>
    <w:pPr>
      <w:keepLines/>
      <w:ind w:left="1135" w:hanging="851"/>
    </w:pPr>
  </w:style>
  <w:style w:type="character" w:customStyle="1" w:styleId="NOChar">
    <w:name w:val="NO Char"/>
    <w:link w:val="NO"/>
    <w:qFormat/>
    <w:rsid w:val="001C1529"/>
    <w:rPr>
      <w:rFonts w:ascii="Times New Roman" w:eastAsia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C1529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C152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1C1529"/>
    <w:rPr>
      <w:i/>
      <w:iCs/>
    </w:rPr>
  </w:style>
  <w:style w:type="paragraph" w:customStyle="1" w:styleId="FigureTitle">
    <w:name w:val="Figure_Title"/>
    <w:basedOn w:val="Normal"/>
    <w:next w:val="Normal"/>
    <w:rsid w:val="001C152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C1529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C1529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C1529"/>
    <w:rPr>
      <w:rFonts w:ascii="Times New Roman" w:eastAsia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1C1529"/>
    <w:rPr>
      <w:i/>
      <w:color w:val="0000FF"/>
    </w:rPr>
  </w:style>
  <w:style w:type="character" w:customStyle="1" w:styleId="Heading2Char">
    <w:name w:val="Heading 2 Char"/>
    <w:link w:val="Heading2"/>
    <w:rsid w:val="001C1529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1C1529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1C1529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1C1529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C152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C1529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1C1529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1C1529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1C1529"/>
    <w:rPr>
      <w:rFonts w:ascii="Arial" w:eastAsia="Times New Roman" w:hAnsi="Arial"/>
      <w:sz w:val="36"/>
      <w:lang w:eastAsia="ja-JP"/>
    </w:rPr>
  </w:style>
  <w:style w:type="character" w:styleId="HTMLCode">
    <w:name w:val="HTML Code"/>
    <w:uiPriority w:val="99"/>
    <w:unhideWhenUsed/>
    <w:rsid w:val="001C152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C152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C15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C152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1C152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C152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C1529"/>
    <w:pPr>
      <w:spacing w:after="0"/>
    </w:pPr>
  </w:style>
  <w:style w:type="paragraph" w:customStyle="1" w:styleId="PL">
    <w:name w:val="PL"/>
    <w:link w:val="PLChar"/>
    <w:qFormat/>
    <w:rsid w:val="001C15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C152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C152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C1529"/>
    <w:rPr>
      <w:rFonts w:ascii="Courier New" w:eastAsia="Times New Roman" w:hAnsi="Courier New"/>
      <w:lang w:val="nb-NO" w:eastAsia="ja-JP"/>
    </w:rPr>
  </w:style>
  <w:style w:type="character" w:styleId="Strong">
    <w:name w:val="Strong"/>
    <w:uiPriority w:val="22"/>
    <w:qFormat/>
    <w:rsid w:val="001C1529"/>
    <w:rPr>
      <w:b/>
      <w:bCs/>
    </w:rPr>
  </w:style>
  <w:style w:type="table" w:styleId="TableGrid">
    <w:name w:val="Table Grid"/>
    <w:basedOn w:val="TableNormal"/>
    <w:uiPriority w:val="39"/>
    <w:rsid w:val="001C152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C1529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C1529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C1529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1C1529"/>
  </w:style>
  <w:style w:type="paragraph" w:customStyle="1" w:styleId="TALCharChar">
    <w:name w:val="TAL Char Char"/>
    <w:basedOn w:val="Normal"/>
    <w:link w:val="TALCharCharChar"/>
    <w:rsid w:val="001C152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C152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C1529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1C152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C152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C1529"/>
    <w:pPr>
      <w:numPr>
        <w:numId w:val="10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D276AE"/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jiizhg\Download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3</Pages>
  <Words>937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5895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</cp:revision>
  <cp:lastPrinted>2008-01-31T07:09:00Z</cp:lastPrinted>
  <dcterms:created xsi:type="dcterms:W3CDTF">2020-10-23T23:34:00Z</dcterms:created>
  <dcterms:modified xsi:type="dcterms:W3CDTF">2020-10-23T23:45:00Z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